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50" w:rsidRPr="004548A0" w:rsidRDefault="00880150" w:rsidP="00880150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548A0">
        <w:rPr>
          <w:rFonts w:ascii="Arial" w:hAnsi="Arial" w:cs="Arial"/>
          <w:b/>
          <w:sz w:val="24"/>
          <w:szCs w:val="24"/>
        </w:rPr>
        <w:t>Wire Fraud Alert</w:t>
      </w:r>
    </w:p>
    <w:p w:rsidR="00880150" w:rsidRPr="00646FA7" w:rsidRDefault="00880150" w:rsidP="00646FA7">
      <w:pPr>
        <w:pStyle w:val="NoSpacing"/>
        <w:ind w:left="-90"/>
        <w:jc w:val="center"/>
        <w:rPr>
          <w:rFonts w:ascii="Arial" w:hAnsi="Arial" w:cs="Arial"/>
          <w:b/>
          <w:sz w:val="18"/>
          <w:szCs w:val="18"/>
        </w:rPr>
      </w:pPr>
      <w:r w:rsidRPr="00646FA7">
        <w:rPr>
          <w:rFonts w:ascii="Arial" w:hAnsi="Arial" w:cs="Arial"/>
          <w:b/>
          <w:i/>
          <w:sz w:val="18"/>
          <w:szCs w:val="18"/>
        </w:rPr>
        <w:t>This Notice is not intended to provide legal or professional advice. If you have any questions, please consult with a lawyer</w:t>
      </w:r>
      <w:r w:rsidR="00646FA7">
        <w:rPr>
          <w:rFonts w:ascii="Arial" w:hAnsi="Arial" w:cs="Arial"/>
          <w:b/>
          <w:i/>
          <w:sz w:val="18"/>
          <w:szCs w:val="18"/>
        </w:rPr>
        <w:t>.</w:t>
      </w:r>
    </w:p>
    <w:p w:rsidR="00646FA7" w:rsidRPr="00646FA7" w:rsidRDefault="00880150" w:rsidP="00646FA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46FA7">
        <w:rPr>
          <w:rFonts w:ascii="Arial" w:hAnsi="Arial" w:cs="Arial"/>
          <w:sz w:val="18"/>
          <w:szCs w:val="18"/>
        </w:rPr>
        <w:t>Realtors®</w:t>
      </w:r>
      <w:r w:rsidR="00646FA7" w:rsidRPr="00646FA7">
        <w:rPr>
          <w:rFonts w:ascii="Arial" w:hAnsi="Arial" w:cs="Arial"/>
          <w:sz w:val="18"/>
          <w:szCs w:val="18"/>
        </w:rPr>
        <w:t>, R</w:t>
      </w:r>
      <w:r w:rsidR="00646FA7" w:rsidRPr="00646FA7">
        <w:rPr>
          <w:rFonts w:ascii="Arial" w:hAnsi="Arial" w:cs="Arial"/>
          <w:color w:val="000000"/>
          <w:sz w:val="18"/>
          <w:szCs w:val="18"/>
        </w:rPr>
        <w:t xml:space="preserve">eal </w:t>
      </w:r>
      <w:r w:rsidR="00646FA7">
        <w:rPr>
          <w:rFonts w:ascii="Arial" w:hAnsi="Arial" w:cs="Arial"/>
          <w:color w:val="000000"/>
          <w:sz w:val="18"/>
          <w:szCs w:val="18"/>
        </w:rPr>
        <w:t>Estate Brokers, Closing A</w:t>
      </w:r>
      <w:r w:rsidR="00646FA7" w:rsidRPr="00646FA7">
        <w:rPr>
          <w:rFonts w:ascii="Arial" w:hAnsi="Arial" w:cs="Arial"/>
          <w:color w:val="000000"/>
          <w:sz w:val="18"/>
          <w:szCs w:val="18"/>
        </w:rPr>
        <w:t xml:space="preserve">ttorneys, </w:t>
      </w:r>
      <w:r w:rsidR="00646FA7">
        <w:rPr>
          <w:rFonts w:ascii="Arial" w:hAnsi="Arial" w:cs="Arial"/>
          <w:color w:val="000000"/>
          <w:sz w:val="18"/>
          <w:szCs w:val="18"/>
        </w:rPr>
        <w:t>Title Agents, B</w:t>
      </w:r>
      <w:r w:rsidR="00646FA7" w:rsidRPr="00646FA7">
        <w:rPr>
          <w:rFonts w:ascii="Arial" w:hAnsi="Arial" w:cs="Arial"/>
          <w:color w:val="000000"/>
          <w:sz w:val="18"/>
          <w:szCs w:val="18"/>
        </w:rPr>
        <w:t xml:space="preserve">uyers and </w:t>
      </w:r>
      <w:r w:rsidR="00646FA7">
        <w:rPr>
          <w:rFonts w:ascii="Arial" w:hAnsi="Arial" w:cs="Arial"/>
          <w:color w:val="000000"/>
          <w:sz w:val="18"/>
          <w:szCs w:val="18"/>
        </w:rPr>
        <w:t>Sellers are t</w:t>
      </w:r>
      <w:r w:rsidR="00646FA7" w:rsidRPr="00646FA7">
        <w:rPr>
          <w:rFonts w:ascii="Arial" w:hAnsi="Arial" w:cs="Arial"/>
          <w:color w:val="000000"/>
          <w:sz w:val="18"/>
          <w:szCs w:val="18"/>
        </w:rPr>
        <w:t>argets for wire fraud and may have lost hundreds of thousands of dollars because they simply relied on the wire instructions received via email, without further verification.</w:t>
      </w: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A fraudster will hack into a participants email account to obtain information about upcoming real estate transactions. After monitoring the account </w:t>
      </w:r>
      <w:r>
        <w:rPr>
          <w:rFonts w:ascii="Arial" w:eastAsia="Times New Roman" w:hAnsi="Arial" w:cs="Arial"/>
          <w:color w:val="000000"/>
          <w:sz w:val="18"/>
          <w:szCs w:val="18"/>
        </w:rPr>
        <w:t>to determine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the likely timing of a closing, the fraudster will send an email to the </w:t>
      </w:r>
      <w:r>
        <w:rPr>
          <w:rFonts w:ascii="Arial" w:eastAsia="Times New Roman" w:hAnsi="Arial" w:cs="Arial"/>
          <w:color w:val="000000"/>
          <w:sz w:val="18"/>
          <w:szCs w:val="18"/>
        </w:rPr>
        <w:t>B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uyer </w:t>
      </w:r>
      <w:r>
        <w:rPr>
          <w:rFonts w:ascii="Arial" w:eastAsia="Times New Roman" w:hAnsi="Arial" w:cs="Arial"/>
          <w:color w:val="000000"/>
          <w:sz w:val="18"/>
          <w:szCs w:val="18"/>
        </w:rPr>
        <w:t>purporting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to be the escrow agent or another party to the transaction. The fraudulent email will contain new wiring instructions or routing information, and will request that the buyers send funds to a fraudulent account.</w:t>
      </w: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Please be advised that the wire instructions listed below are the only wire instructions we will send you. If you received another email or unsolicited call for </w:t>
      </w:r>
      <w:r>
        <w:rPr>
          <w:rFonts w:ascii="Arial" w:eastAsia="Times New Roman" w:hAnsi="Arial" w:cs="Arial"/>
          <w:color w:val="000000"/>
          <w:sz w:val="18"/>
          <w:szCs w:val="18"/>
        </w:rPr>
        <w:t>pur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porting to alter these instructions, please immediately call us at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4548A0">
        <w:rPr>
          <w:rFonts w:ascii="Arial" w:eastAsia="Times New Roman" w:hAnsi="Arial" w:cs="Arial"/>
          <w:color w:val="000000"/>
          <w:sz w:val="18"/>
          <w:szCs w:val="18"/>
        </w:rPr>
        <w:t>Insert Phone No</w:t>
      </w:r>
      <w:r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(Insert Wire I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>nstructions</w:t>
      </w:r>
      <w:r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4548A0" w:rsidRPr="00646FA7" w:rsidRDefault="004548A0" w:rsidP="004548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548A0" w:rsidRDefault="004548A0" w:rsidP="00646FA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548A0" w:rsidRDefault="004548A0" w:rsidP="00646FA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In addition, the following non-exclusive 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>elf</w:t>
      </w:r>
      <w:r>
        <w:rPr>
          <w:rFonts w:ascii="Arial" w:eastAsia="Times New Roman" w:hAnsi="Arial" w:cs="Arial"/>
          <w:color w:val="000000"/>
          <w:sz w:val="18"/>
          <w:szCs w:val="18"/>
        </w:rPr>
        <w:t>-p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>rotection strategies are recommended to minimize exposure to possible wire fraud.</w:t>
      </w:r>
    </w:p>
    <w:p w:rsidR="00646FA7" w:rsidRPr="00646FA7" w:rsidRDefault="00646FA7" w:rsidP="00646F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6FA7">
        <w:rPr>
          <w:rFonts w:ascii="Arial" w:eastAsia="Times New Roman" w:hAnsi="Arial" w:cs="Arial"/>
          <w:b/>
          <w:caps/>
          <w:color w:val="000000"/>
          <w:sz w:val="18"/>
          <w:szCs w:val="18"/>
        </w:rPr>
        <w:t>Never rely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on emails reporting to change wire instructions. Parties to any transactions rarely change wire instructions in the course of a transaction.</w:t>
      </w:r>
    </w:p>
    <w:p w:rsidR="00646FA7" w:rsidRPr="00646FA7" w:rsidRDefault="00646FA7" w:rsidP="00646F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6FA7">
        <w:rPr>
          <w:rFonts w:ascii="Arial" w:eastAsia="Times New Roman" w:hAnsi="Arial" w:cs="Arial"/>
          <w:b/>
          <w:caps/>
          <w:color w:val="000000"/>
          <w:sz w:val="18"/>
          <w:szCs w:val="18"/>
        </w:rPr>
        <w:t>Always verify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wire instructions, specifically the ABA routing number and account number, by calling the party who sent the instructions to you</w:t>
      </w:r>
      <w:r w:rsidRPr="00B75BCA">
        <w:rPr>
          <w:rFonts w:ascii="Arial" w:eastAsia="Times New Roman" w:hAnsi="Arial" w:cs="Arial"/>
          <w:caps/>
          <w:color w:val="000000"/>
          <w:sz w:val="18"/>
          <w:szCs w:val="18"/>
        </w:rPr>
        <w:t>. Do not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use the phone number provided in the email containing the instructions, use phone numbers you have called before or can otherwise verify. </w:t>
      </w:r>
      <w:r w:rsidRPr="00B75BC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Obtain the number of your </w:t>
      </w:r>
      <w:r w:rsidR="00B75BCA" w:rsidRPr="00B75BCA">
        <w:rPr>
          <w:rFonts w:ascii="Arial" w:eastAsia="Times New Roman" w:hAnsi="Arial" w:cs="Arial"/>
          <w:b/>
          <w:color w:val="000000"/>
          <w:sz w:val="18"/>
          <w:szCs w:val="18"/>
        </w:rPr>
        <w:t>R</w:t>
      </w:r>
      <w:r w:rsidRPr="00B75BCA">
        <w:rPr>
          <w:rFonts w:ascii="Arial" w:eastAsia="Times New Roman" w:hAnsi="Arial" w:cs="Arial"/>
          <w:b/>
          <w:color w:val="000000"/>
          <w:sz w:val="18"/>
          <w:szCs w:val="18"/>
        </w:rPr>
        <w:t>ealtor</w:t>
      </w:r>
      <w:r w:rsidR="00B75BCA" w:rsidRPr="00B75BCA">
        <w:rPr>
          <w:rFonts w:ascii="Arial" w:eastAsia="Times New Roman" w:hAnsi="Arial" w:cs="Arial"/>
          <w:b/>
          <w:color w:val="000000"/>
          <w:sz w:val="18"/>
          <w:szCs w:val="18"/>
        </w:rPr>
        <w:t>®</w:t>
      </w:r>
      <w:r w:rsidRPr="00B75BC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</w:t>
      </w:r>
      <w:r w:rsidR="00B75BCA" w:rsidRPr="00B75BCA">
        <w:rPr>
          <w:rFonts w:ascii="Arial" w:eastAsia="Times New Roman" w:hAnsi="Arial" w:cs="Arial"/>
          <w:b/>
          <w:color w:val="000000"/>
          <w:sz w:val="18"/>
          <w:szCs w:val="18"/>
        </w:rPr>
        <w:t>R</w:t>
      </w:r>
      <w:r w:rsidRPr="00B75BC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eal </w:t>
      </w:r>
      <w:r w:rsidR="00B75BCA" w:rsidRPr="00B75BCA">
        <w:rPr>
          <w:rFonts w:ascii="Arial" w:eastAsia="Times New Roman" w:hAnsi="Arial" w:cs="Arial"/>
          <w:b/>
          <w:color w:val="000000"/>
          <w:sz w:val="18"/>
          <w:szCs w:val="18"/>
        </w:rPr>
        <w:t>E</w:t>
      </w:r>
      <w:r w:rsidRPr="00B75BC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state </w:t>
      </w:r>
      <w:r w:rsidR="00B75BCA" w:rsidRPr="00B75BCA">
        <w:rPr>
          <w:rFonts w:ascii="Arial" w:eastAsia="Times New Roman" w:hAnsi="Arial" w:cs="Arial"/>
          <w:b/>
          <w:color w:val="000000"/>
          <w:sz w:val="18"/>
          <w:szCs w:val="18"/>
        </w:rPr>
        <w:t>B</w:t>
      </w:r>
      <w:r w:rsidRPr="00B75BCA">
        <w:rPr>
          <w:rFonts w:ascii="Arial" w:eastAsia="Times New Roman" w:hAnsi="Arial" w:cs="Arial"/>
          <w:b/>
          <w:color w:val="000000"/>
          <w:sz w:val="18"/>
          <w:szCs w:val="18"/>
        </w:rPr>
        <w:t>roker and your escrow officer as soon as an escrow account is opened.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75BCA">
        <w:rPr>
          <w:rFonts w:ascii="Arial" w:eastAsia="Times New Roman" w:hAnsi="Arial" w:cs="Arial"/>
          <w:caps/>
          <w:color w:val="000000"/>
          <w:sz w:val="18"/>
          <w:szCs w:val="18"/>
        </w:rPr>
        <w:t>Do not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send an email to verify as email addresses may be incorrect or the email may be intercepted by the fraudster.</w:t>
      </w:r>
    </w:p>
    <w:p w:rsidR="00646FA7" w:rsidRPr="00646FA7" w:rsidRDefault="00646FA7" w:rsidP="00646F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75BCA">
        <w:rPr>
          <w:rFonts w:ascii="Arial" w:eastAsia="Times New Roman" w:hAnsi="Arial" w:cs="Arial"/>
          <w:b/>
          <w:caps/>
          <w:color w:val="000000"/>
          <w:sz w:val="18"/>
          <w:szCs w:val="18"/>
        </w:rPr>
        <w:t>Do not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forward wire instructions to other parties without first verbally verify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ing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the instructions from the sending party.</w:t>
      </w:r>
    </w:p>
    <w:p w:rsidR="00646FA7" w:rsidRPr="00646FA7" w:rsidRDefault="00646FA7" w:rsidP="00646F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75BCA">
        <w:rPr>
          <w:rFonts w:ascii="Arial" w:eastAsia="Times New Roman" w:hAnsi="Arial" w:cs="Arial"/>
          <w:b/>
          <w:caps/>
          <w:color w:val="000000"/>
          <w:sz w:val="18"/>
          <w:szCs w:val="18"/>
        </w:rPr>
        <w:t>Use complex email passwords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that employ a combination of mixed case, numbers, and symbols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Make your passwords greater than 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characters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lso, change your password often and do </w:t>
      </w:r>
      <w:r w:rsidRPr="00B75BCA">
        <w:rPr>
          <w:rFonts w:ascii="Arial" w:eastAsia="Times New Roman" w:hAnsi="Arial" w:cs="Arial"/>
          <w:caps/>
          <w:color w:val="000000"/>
          <w:sz w:val="18"/>
          <w:szCs w:val="18"/>
        </w:rPr>
        <w:t>not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reuse the same password for other online accounts.</w:t>
      </w:r>
    </w:p>
    <w:p w:rsidR="00646FA7" w:rsidRPr="00646FA7" w:rsidRDefault="00646FA7" w:rsidP="00646F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B75BCA">
        <w:rPr>
          <w:rFonts w:ascii="Arial" w:eastAsia="Times New Roman" w:hAnsi="Arial" w:cs="Arial"/>
          <w:b/>
          <w:caps/>
          <w:color w:val="000000"/>
          <w:sz w:val="18"/>
          <w:szCs w:val="18"/>
        </w:rPr>
        <w:t>Use multi-factor authentication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 for emails accounts. Your email provider or IT staff may have specific instructions on how to interpret this feature. </w:t>
      </w: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6FA7" w:rsidRPr="00646FA7" w:rsidRDefault="00B75BCA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For m</w:t>
      </w:r>
      <w:r w:rsidR="00646FA7" w:rsidRPr="00646FA7">
        <w:rPr>
          <w:rFonts w:ascii="Arial" w:eastAsia="Times New Roman" w:hAnsi="Arial" w:cs="Arial"/>
          <w:color w:val="000000"/>
          <w:sz w:val="18"/>
          <w:szCs w:val="18"/>
        </w:rPr>
        <w:t>ore information on wire fraud scams or to report an incident, please refer to the following links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46FA7" w:rsidRPr="00B75BCA" w:rsidRDefault="00646FA7" w:rsidP="00646FA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646FA7">
        <w:rPr>
          <w:rFonts w:ascii="Arial" w:eastAsia="Times New Roman" w:hAnsi="Arial" w:cs="Arial"/>
          <w:b/>
          <w:i/>
          <w:color w:val="000000"/>
          <w:sz w:val="18"/>
          <w:szCs w:val="18"/>
        </w:rPr>
        <w:t>Federal Bureau of Investigation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hyperlink r:id="rId5" w:history="1">
        <w:r w:rsidR="00B75BCA" w:rsidRPr="00B75BCA">
          <w:rPr>
            <w:rStyle w:val="Hyperlink"/>
            <w:rFonts w:ascii="Arial" w:eastAsia="Times New Roman" w:hAnsi="Arial" w:cs="Arial"/>
            <w:color w:val="FF0000"/>
            <w:sz w:val="18"/>
            <w:szCs w:val="18"/>
          </w:rPr>
          <w:t>http://www.fbi.gov</w:t>
        </w:r>
      </w:hyperlink>
      <w:r w:rsidR="00B75BCA" w:rsidRPr="00B75BCA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46FA7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</w:t>
      </w:r>
      <w:r w:rsidR="00B75BCA" w:rsidRPr="00B75BCA">
        <w:rPr>
          <w:rFonts w:ascii="Arial" w:eastAsia="Times New Roman" w:hAnsi="Arial" w:cs="Arial"/>
          <w:b/>
          <w:i/>
          <w:color w:val="000000"/>
          <w:sz w:val="18"/>
          <w:szCs w:val="18"/>
        </w:rPr>
        <w:t>I</w:t>
      </w:r>
      <w:r w:rsidRPr="00646FA7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nternet </w:t>
      </w:r>
      <w:r w:rsidR="00B75BCA" w:rsidRPr="00B75BCA">
        <w:rPr>
          <w:rFonts w:ascii="Arial" w:eastAsia="Times New Roman" w:hAnsi="Arial" w:cs="Arial"/>
          <w:b/>
          <w:i/>
          <w:color w:val="000000"/>
          <w:sz w:val="18"/>
          <w:szCs w:val="18"/>
        </w:rPr>
        <w:t>Crime C</w:t>
      </w:r>
      <w:r w:rsidRPr="00646FA7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omplaint </w:t>
      </w:r>
      <w:r w:rsidR="00B75BCA" w:rsidRPr="00B75BCA">
        <w:rPr>
          <w:rFonts w:ascii="Arial" w:eastAsia="Times New Roman" w:hAnsi="Arial" w:cs="Arial"/>
          <w:b/>
          <w:i/>
          <w:color w:val="000000"/>
          <w:sz w:val="18"/>
          <w:szCs w:val="18"/>
        </w:rPr>
        <w:t>C</w:t>
      </w:r>
      <w:r w:rsidRPr="00646FA7">
        <w:rPr>
          <w:rFonts w:ascii="Arial" w:eastAsia="Times New Roman" w:hAnsi="Arial" w:cs="Arial"/>
          <w:b/>
          <w:i/>
          <w:color w:val="000000"/>
          <w:sz w:val="18"/>
          <w:szCs w:val="18"/>
        </w:rPr>
        <w:t>enter</w:t>
      </w:r>
      <w:r w:rsidR="00B75BCA" w:rsidRPr="00B75BCA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: </w:t>
      </w:r>
      <w:hyperlink r:id="rId6" w:history="1">
        <w:r w:rsidR="00B75BCA" w:rsidRPr="00B75BCA">
          <w:rPr>
            <w:rStyle w:val="Hyperlink"/>
            <w:rFonts w:ascii="Arial" w:eastAsia="Times New Roman" w:hAnsi="Arial" w:cs="Arial"/>
            <w:i/>
            <w:color w:val="FF0000"/>
            <w:sz w:val="18"/>
            <w:szCs w:val="18"/>
          </w:rPr>
          <w:t>http://www.ic3.gov</w:t>
        </w:r>
      </w:hyperlink>
    </w:p>
    <w:p w:rsidR="00B75BCA" w:rsidRDefault="00B75BCA" w:rsidP="00646FA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75BCA" w:rsidRPr="00646FA7" w:rsidRDefault="00B75BCA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6FA7" w:rsidRPr="00646FA7" w:rsidRDefault="00646FA7" w:rsidP="00B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646FA7">
        <w:rPr>
          <w:rFonts w:ascii="Arial" w:eastAsia="Times New Roman" w:hAnsi="Arial" w:cs="Arial"/>
          <w:b/>
          <w:caps/>
          <w:color w:val="000000"/>
        </w:rPr>
        <w:t>Acknowledgement of receipt</w:t>
      </w:r>
    </w:p>
    <w:p w:rsidR="00646FA7" w:rsidRPr="00646FA7" w:rsidRDefault="00646FA7" w:rsidP="00646F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6FA7" w:rsidRDefault="00646FA7" w:rsidP="00B75B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Your signature below acknowledges receipt of this 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W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 xml:space="preserve">ire 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Fraud A</w:t>
      </w:r>
      <w:r w:rsidRPr="00646FA7">
        <w:rPr>
          <w:rFonts w:ascii="Arial" w:eastAsia="Times New Roman" w:hAnsi="Arial" w:cs="Arial"/>
          <w:color w:val="000000"/>
          <w:sz w:val="18"/>
          <w:szCs w:val="18"/>
        </w:rPr>
        <w:t>lert</w:t>
      </w:r>
      <w:r w:rsidR="00B75BC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75BCA" w:rsidRPr="00646FA7" w:rsidRDefault="00B75BCA" w:rsidP="00B7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66"/>
        <w:gridCol w:w="2599"/>
        <w:gridCol w:w="450"/>
        <w:gridCol w:w="2255"/>
        <w:gridCol w:w="270"/>
        <w:gridCol w:w="2600"/>
      </w:tblGrid>
      <w:tr w:rsidR="004618F6" w:rsidTr="00B2210E">
        <w:tc>
          <w:tcPr>
            <w:tcW w:w="2526" w:type="dxa"/>
            <w:gridSpan w:val="2"/>
          </w:tcPr>
          <w:p w:rsidR="004618F6" w:rsidRPr="00065CFF" w:rsidRDefault="004618F6" w:rsidP="00065CFF">
            <w:pPr>
              <w:pStyle w:val="NoSpacing"/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065CFF">
              <w:rPr>
                <w:rFonts w:ascii="Arial" w:hAnsi="Arial" w:cs="Arial"/>
                <w:b/>
                <w:sz w:val="18"/>
                <w:szCs w:val="18"/>
              </w:rPr>
              <w:t>Buyer 1</w:t>
            </w:r>
          </w:p>
        </w:tc>
        <w:tc>
          <w:tcPr>
            <w:tcW w:w="2599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4618F6" w:rsidRPr="00065CFF" w:rsidRDefault="004618F6" w:rsidP="00065CFF">
            <w:pPr>
              <w:pStyle w:val="NoSpacing"/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618F6" w:rsidRPr="00065CFF" w:rsidRDefault="004618F6" w:rsidP="00065CFF">
            <w:pPr>
              <w:pStyle w:val="NoSpacing"/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065CFF">
              <w:rPr>
                <w:rFonts w:ascii="Arial" w:hAnsi="Arial" w:cs="Arial"/>
                <w:b/>
                <w:sz w:val="18"/>
                <w:szCs w:val="18"/>
              </w:rPr>
              <w:t>Buyer 2</w:t>
            </w:r>
          </w:p>
        </w:tc>
        <w:tc>
          <w:tcPr>
            <w:tcW w:w="260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8F6" w:rsidTr="00AE1159">
        <w:trPr>
          <w:trHeight w:val="549"/>
        </w:trPr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8F6" w:rsidTr="00B2210E">
        <w:trPr>
          <w:trHeight w:val="323"/>
        </w:trPr>
        <w:tc>
          <w:tcPr>
            <w:tcW w:w="2526" w:type="dxa"/>
            <w:gridSpan w:val="2"/>
            <w:tcBorders>
              <w:top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60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8F6" w:rsidTr="004618F6">
        <w:trPr>
          <w:trHeight w:val="584"/>
        </w:trPr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8F6" w:rsidTr="00B2210E">
        <w:tc>
          <w:tcPr>
            <w:tcW w:w="2526" w:type="dxa"/>
            <w:gridSpan w:val="2"/>
            <w:tcBorders>
              <w:top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260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8F6" w:rsidTr="004618F6">
        <w:trPr>
          <w:trHeight w:val="575"/>
        </w:trPr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8F6" w:rsidTr="00B2210E">
        <w:tc>
          <w:tcPr>
            <w:tcW w:w="2526" w:type="dxa"/>
            <w:gridSpan w:val="2"/>
            <w:tcBorders>
              <w:top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0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8F6" w:rsidTr="00B2210E">
        <w:trPr>
          <w:trHeight w:val="584"/>
        </w:trPr>
        <w:tc>
          <w:tcPr>
            <w:tcW w:w="2260" w:type="dxa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8F6" w:rsidTr="00B2210E">
        <w:tc>
          <w:tcPr>
            <w:tcW w:w="2526" w:type="dxa"/>
            <w:gridSpan w:val="2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99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No.</w:t>
            </w:r>
          </w:p>
        </w:tc>
        <w:tc>
          <w:tcPr>
            <w:tcW w:w="45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gridSpan w:val="2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00" w:type="dxa"/>
          </w:tcPr>
          <w:p w:rsidR="004618F6" w:rsidRDefault="004618F6" w:rsidP="00065CFF">
            <w:pPr>
              <w:pStyle w:val="NoSpacing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No.</w:t>
            </w:r>
          </w:p>
        </w:tc>
      </w:tr>
    </w:tbl>
    <w:p w:rsidR="00880150" w:rsidRPr="00646FA7" w:rsidRDefault="00880150" w:rsidP="00AE1159">
      <w:pPr>
        <w:pStyle w:val="NoSpacing"/>
        <w:ind w:left="90" w:right="-720"/>
        <w:rPr>
          <w:rFonts w:ascii="Arial" w:hAnsi="Arial" w:cs="Arial"/>
          <w:sz w:val="18"/>
          <w:szCs w:val="18"/>
        </w:rPr>
      </w:pPr>
    </w:p>
    <w:sectPr w:rsidR="00880150" w:rsidRPr="00646FA7" w:rsidSect="00646FA7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C38FF"/>
    <w:multiLevelType w:val="hybridMultilevel"/>
    <w:tmpl w:val="B40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50"/>
    <w:rsid w:val="00026450"/>
    <w:rsid w:val="000301AC"/>
    <w:rsid w:val="00065CFF"/>
    <w:rsid w:val="000C1D32"/>
    <w:rsid w:val="001E0070"/>
    <w:rsid w:val="00210996"/>
    <w:rsid w:val="00263950"/>
    <w:rsid w:val="002B3794"/>
    <w:rsid w:val="00334224"/>
    <w:rsid w:val="0034343A"/>
    <w:rsid w:val="003672DF"/>
    <w:rsid w:val="00410B50"/>
    <w:rsid w:val="004278D1"/>
    <w:rsid w:val="004548A0"/>
    <w:rsid w:val="004618F6"/>
    <w:rsid w:val="00464359"/>
    <w:rsid w:val="00467C6B"/>
    <w:rsid w:val="004D31BD"/>
    <w:rsid w:val="0050688C"/>
    <w:rsid w:val="00512E73"/>
    <w:rsid w:val="0053576E"/>
    <w:rsid w:val="00590F6A"/>
    <w:rsid w:val="005A490F"/>
    <w:rsid w:val="005C1F89"/>
    <w:rsid w:val="00646FA7"/>
    <w:rsid w:val="00680DC4"/>
    <w:rsid w:val="006E6AF9"/>
    <w:rsid w:val="00733AB0"/>
    <w:rsid w:val="00737BE4"/>
    <w:rsid w:val="007402E5"/>
    <w:rsid w:val="00742027"/>
    <w:rsid w:val="00757228"/>
    <w:rsid w:val="00794AF8"/>
    <w:rsid w:val="007F110C"/>
    <w:rsid w:val="00837A34"/>
    <w:rsid w:val="00863D4F"/>
    <w:rsid w:val="00880150"/>
    <w:rsid w:val="0090216A"/>
    <w:rsid w:val="00953F4C"/>
    <w:rsid w:val="009657CF"/>
    <w:rsid w:val="009B5E90"/>
    <w:rsid w:val="009F4F7D"/>
    <w:rsid w:val="00A26F19"/>
    <w:rsid w:val="00A429D3"/>
    <w:rsid w:val="00A43864"/>
    <w:rsid w:val="00A532FD"/>
    <w:rsid w:val="00A56D95"/>
    <w:rsid w:val="00A71445"/>
    <w:rsid w:val="00AE1159"/>
    <w:rsid w:val="00B2210E"/>
    <w:rsid w:val="00B75BCA"/>
    <w:rsid w:val="00B87586"/>
    <w:rsid w:val="00BE381D"/>
    <w:rsid w:val="00D70F23"/>
    <w:rsid w:val="00DC540C"/>
    <w:rsid w:val="00E27831"/>
    <w:rsid w:val="00E53F04"/>
    <w:rsid w:val="00EC064A"/>
    <w:rsid w:val="00EE0DE2"/>
    <w:rsid w:val="00F03970"/>
    <w:rsid w:val="00F41F1D"/>
    <w:rsid w:val="00F86AB8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3FE2-E576-4D2F-B09F-B2BE68BB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9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B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3.gov" TargetMode="External"/><Relationship Id="rId5" Type="http://schemas.openxmlformats.org/officeDocument/2006/relationships/hyperlink" Target="http://www.fb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Scott</dc:creator>
  <cp:keywords/>
  <dc:description/>
  <cp:lastModifiedBy>McKee, Scott</cp:lastModifiedBy>
  <cp:revision>6</cp:revision>
  <cp:lastPrinted>2018-06-12T19:34:00Z</cp:lastPrinted>
  <dcterms:created xsi:type="dcterms:W3CDTF">2018-06-12T17:41:00Z</dcterms:created>
  <dcterms:modified xsi:type="dcterms:W3CDTF">2018-06-13T12:29:00Z</dcterms:modified>
</cp:coreProperties>
</file>